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hessalonians-2"/>
    <w:p>
      <w:pPr>
        <w:pStyle w:val="Heading1"/>
      </w:pPr>
      <w:r>
        <w:t xml:space="preserve">Homiletics Analysis: 1 Thessalonians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Thessalonians 2 is Paul’s extended defense and description of his apostolic ministry among the Thessalonians — not an abstract treatise on ministry philosophy but a passionate, personal account of how the gospel actually arrived in Thessalonica and what kind of people it produced in its wake. The chapter divides into two major movements. In the first (vv. 1–16), Paul recounts the character of his entrance among them: he came boldly despite prior suffering at Philippi (vv. 1–2); he brought the gospel without flattery, greed, or people-pleasing (vv. 3–6); he came with the gentleness of a nursing mother (vv. 7–8) and the urgency of a father (vv. 9–12); and the Thessalonians received his word not as a merely human message but as the word of God itself (vv. 13–16). In the second movement (vv. 17–20), Paul expresses his deep longing to return to them, describes his repeated attempts to do so being thwarted by Satan, and articulates his staggering conviction that the Thessalonians are his crown of glory at the coming of the Lord Jesus.</w:t>
      </w:r>
    </w:p>
    <w:p>
      <w:pPr>
        <w:pStyle w:val="BodyText"/>
      </w:pPr>
      <w:r>
        <w:rPr>
          <w:b/>
          <w:bCs/>
        </w:rPr>
        <w:t xml:space="preserve">This Text — Intent</w:t>
      </w:r>
    </w:p>
    <w:p>
      <w:pPr>
        <w:pStyle w:val="BodyText"/>
      </w:pPr>
      <w:r>
        <w:t xml:space="preserve">God’s intent through this passage is multilayered but ultimately unified around a single effect: to demonstrate that authentic gospel ministry is inseparable from authentic gospel character, and that the gospel’s credibility is carried — or destroyed — by the integrity of its messengers. God is calling the reader to recognize what faithful ministry looks like from the inside (the minister’s motives, affections, and conduct) and what it looks like from the outside (the reception of the word, the endurance through persecution, the bond that forms between minister and people). For the Thessalonian church reading this letter, the intent was to confirm that what they received from Paul was real — not the performance of a traveling sophist or a mercenary preacher, but the actual word of God delivered by a man whose life bore out his message. For every subsequent reader, the intent is to calibrate both the giving and receiving of the gospel by the standard Paul here exhibits.</w:t>
      </w:r>
    </w:p>
    <w:p>
      <w:r>
        <w:pict>
          <v:rect style="width:0;height:1.5pt" o:hralign="center" o:hrstd="t" o:hr="t"/>
        </w:pict>
      </w:r>
    </w:p>
    <w:p>
      <w:pPr>
        <w:pStyle w:val="FirstParagraph"/>
      </w:pPr>
      <w:r>
        <w:rPr>
          <w:b/>
          <w:bCs/>
        </w:rPr>
        <w:t xml:space="preserve">Subject Sentence:</w:t>
      </w:r>
      <w:r>
        <w:t xml:space="preserve"> </w:t>
      </w:r>
      <w:r>
        <w:t xml:space="preserve">Authentic gospel ministry is marked by the integrity of the messenger and received as the very word of God.</w:t>
      </w:r>
    </w:p>
    <w:p>
      <w:r>
        <w:pict>
          <v:rect style="width:0;height:1.5pt" o:hralign="center" o:hrstd="t" o:hr="t"/>
        </w:pict>
      </w:r>
    </w:p>
    <w:p>
      <w:pPr>
        <w:pStyle w:val="FirstParagraph"/>
      </w:pPr>
      <w:r>
        <w:rPr>
          <w:b/>
          <w:bCs/>
        </w:rPr>
        <w:t xml:space="preserve">Primary Claim:</w:t>
      </w:r>
      <w:r>
        <w:t xml:space="preserve"> </w:t>
      </w:r>
      <w:r>
        <w:t xml:space="preserve">God is calling every minister and every congregation to measure gospel ministry — both its delivery and its reception — by the standard of Paul’s apostolic pattern: motivated by God’s approval alone, conducted with sacrificial love, and received not as human opinion but as the living and active word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Paul’s Defense (vv. 1–12)</w:t>
      </w:r>
    </w:p>
    <w:p>
      <w:pPr>
        <w:pStyle w:val="BodyText"/>
      </w:pPr>
      <w:r>
        <w:t xml:space="preserve">A significant interpretive question concerns whether Paul is engaged in apologetics against specific opponents or simply providing positive description of his ministry for pastoral-encouragement purposes. Some scholars (e.g., Abraham Malherbe) read this passage almost entirely through the lens of Greco-Roman rhetorical convention — Paul is distinguishing himself from itinerant sophists and philosophers by deploying categories familiar to his culture. Others (e.g., F.F. Bruce, Leon Morris) argue that specific opponents were actively defaming Paul in Thessalonica during his absence, and that the passage is a genuine defense against real charges: that his gospel was born of deceit (v. 3), that he was a flatterer (v. 5), that he sought personal glory (v. 6), and that he was a financial opportunist (v. 5, 9). The Reformed reading acknowledges the Greco-Roman rhetorical background as genuinely illuminating — the contrast between the true philosopher and the charlatan was a known topos — but resists reducing the passage to mere cultural performance. Paul’s defense is pastoral and personal, not merely rhetorical. He is not simply positioning himself in a cultural conversation; he is defending the integrity of the gospel that arrived in Thessalonica, because if the messenger is corrupt, the message is suspect. The stakes are theological, not merely reputational.</w:t>
      </w:r>
    </w:p>
    <w:p>
      <w:pPr>
        <w:pStyle w:val="BodyText"/>
      </w:pPr>
      <w:r>
        <w:rPr>
          <w:b/>
          <w:bCs/>
        </w:rPr>
        <w:t xml:space="preserve">The Nursing Mother / Father Metaphors (vv. 7–12)</w:t>
      </w:r>
    </w:p>
    <w:p>
      <w:pPr>
        <w:pStyle w:val="BodyText"/>
      </w:pPr>
      <w:r>
        <w:t xml:space="preserve">The nursing mother image in verse 7 is striking and has generated discussion about whether Paul is feminizing apostolic ministry in a culturally significant way. Some traditions emphasize the mutual tenderness implied — ministry is not only prophetic confrontation but maternal nurture. The Reformed reading affirms this fully: the combination of maternal gentleness (vv. 7–8) and paternal instruction and urgency (vv. 9–12) is not accidental. Paul is drawing on both poles of parental love as the full picture of apostolic care. Neither the father nor the mother metaphor is more</w:t>
      </w:r>
      <w:r>
        <w:t xml:space="preserve"> </w:t>
      </w:r>
      <w:r>
        <w:t xml:space="preserve">“authentically”</w:t>
      </w:r>
      <w:r>
        <w:t xml:space="preserve"> </w:t>
      </w:r>
      <w:r>
        <w:t xml:space="preserve">Pauline — they work together to describe the complete shape of godly pastoral affection. Applications that use only the confrontational/fatherly model or only the tender/motherly model have taken half the picture.</w:t>
      </w:r>
    </w:p>
    <w:p>
      <w:pPr>
        <w:pStyle w:val="BodyText"/>
      </w:pPr>
      <w:r>
        <w:rPr>
          <w:b/>
          <w:bCs/>
        </w:rPr>
        <w:t xml:space="preserve">Verse 14–16 — Paul’s Harsh Words Toward</w:t>
      </w:r>
      <w:r>
        <w:rPr>
          <w:b/>
          <w:bCs/>
        </w:rPr>
        <w:t xml:space="preserve"> </w:t>
      </w:r>
      <w:r>
        <w:rPr>
          <w:b/>
          <w:bCs/>
        </w:rPr>
        <w:t xml:space="preserve">“the Jews”</w:t>
      </w:r>
    </w:p>
    <w:p>
      <w:pPr>
        <w:pStyle w:val="BodyText"/>
      </w:pPr>
      <w:r>
        <w:t xml:space="preserve">These verses contain some of the strongest language Paul uses anywhere — accusing certain Jews of killing the Lord Jesus, driving out the prophets, opposing all humanity, and having wrath come upon them to the uttermost. Two interpretive pressures bear here.</w:t>
      </w:r>
    </w:p>
    <w:p>
      <w:pPr>
        <w:pStyle w:val="BodyText"/>
      </w:pPr>
      <w:r>
        <w:t xml:space="preserve">First, some scholars (notably Pearson and others) argue that vv. 14–16 are a later non-Pauline interpolation, inconsistent with Paul’s more nuanced treatment of Israel in Romans 9–11. This position should be</w:t>
      </w:r>
      <w:r>
        <w:t xml:space="preserve"> </w:t>
      </w:r>
      <w:r>
        <w:rPr>
          <w:b/>
          <w:bCs/>
        </w:rPr>
        <w:t xml:space="preserve">refuted</w:t>
      </w:r>
      <w:r>
        <w:t xml:space="preserve">: it lacks textual support (no manuscript omits these verses), and the passage is fully coherent with Paul’s pattern elsewhere of distinguishing Jewish opponents of the gospel from ethnic Israel as a whole. Romans 11 is not inconsistent with 1 Thessalonians 2 — they address different aspects of the same situation from different angles.</w:t>
      </w:r>
    </w:p>
    <w:p>
      <w:pPr>
        <w:pStyle w:val="BodyText"/>
      </w:pPr>
      <w:r>
        <w:t xml:space="preserve">Second, the language must be read carefully against its context: Paul is not condemning ethnic Jews as a group but a specific subset — those who actively opposed the gospel, persecuted the churches, and killed Jesus. The same opponents who persecuted the church in Judea were doing similar work in Thessalonica (v. 14). The Reformed reading resists both the interpolation theory and any anti-Semitic appropriation of the text. Paul, himself a Jew (Romans 9:1–5; 11:1), is describing the pattern of covenant-breaking resistance that has characterized certain responses to God’s messengers throughout redemptive history — a pattern now reaching its climactic expression in the rejection of the Messiah.</w:t>
      </w:r>
    </w:p>
    <w:p>
      <w:pPr>
        <w:pStyle w:val="BodyText"/>
      </w:pPr>
      <w:r>
        <w:rPr>
          <w:b/>
          <w:bCs/>
        </w:rPr>
        <w:t xml:space="preserve">Verse 19–20 —</w:t>
      </w:r>
      <w:r>
        <w:rPr>
          <w:b/>
          <w:bCs/>
        </w:rPr>
        <w:t xml:space="preserve"> </w:t>
      </w:r>
      <w:r>
        <w:rPr>
          <w:b/>
          <w:bCs/>
        </w:rPr>
        <w:t xml:space="preserve">“Crown”</w:t>
      </w:r>
      <w:r>
        <w:rPr>
          <w:b/>
          <w:bCs/>
        </w:rPr>
        <w:t xml:space="preserve"> </w:t>
      </w:r>
      <w:r>
        <w:rPr>
          <w:b/>
          <w:bCs/>
        </w:rPr>
        <w:t xml:space="preserve">at the Parousia</w:t>
      </w:r>
    </w:p>
    <w:p>
      <w:pPr>
        <w:pStyle w:val="BodyText"/>
      </w:pPr>
      <w:r>
        <w:t xml:space="preserve">Wesleyan/Arminian readings sometimes emphasize verse 19 as evidence that Paul’s eschatological hope is partly conditioned on the perseverance of the Thessalonians — that their standing at the parousia is genuinely open and contingent. The Reformed reading</w:t>
      </w:r>
      <w:r>
        <w:t xml:space="preserve"> </w:t>
      </w:r>
      <w:r>
        <w:rPr>
          <w:b/>
          <w:bCs/>
        </w:rPr>
        <w:t xml:space="preserve">qualifies</w:t>
      </w:r>
      <w:r>
        <w:t xml:space="preserve"> </w:t>
      </w:r>
      <w:r>
        <w:t xml:space="preserve">this: Paul’s pastoral investment in their endurance is real and urgent, and his language of boasting and glory at the coming of the Lord does reflect genuine contingency language. However, the passage does not teach that Paul’s eschatological standing or theirs is uncertain — rather, it reflects the pastoral pattern in which God’s certain purposes are accomplished through real means, including the minister’s ongoing care and the congregation’s ongoing perseverance. The crown imagery refers to the joy and honor of seeing gospel fruit confirmed at the last day, not to earning a conditional reward.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16:16–40 / Acts 17:1–9</w:t>
      </w:r>
      <w:r>
        <w:t xml:space="preserve"> </w:t>
      </w:r>
      <w:r>
        <w:t xml:space="preserve">— Luke’s account of Paul’s prior suffering at Philippi and his arrival at Thessalonica provides the historical context for verse 2; the</w:t>
      </w:r>
      <w:r>
        <w:t xml:space="preserve"> </w:t>
      </w:r>
      <w:r>
        <w:t xml:space="preserve">“bold in our God”</w:t>
      </w:r>
      <w:r>
        <w:t xml:space="preserve"> </w:t>
      </w:r>
      <w:r>
        <w:t xml:space="preserve">entry into Thessalonica follows directly from imprisonment and flogging, grounding Paul’s courage in divine commission rather than personal temperament.</w:t>
      </w:r>
    </w:p>
    <w:p>
      <w:pPr>
        <w:numPr>
          <w:ilvl w:val="0"/>
          <w:numId w:val="1001"/>
        </w:numPr>
      </w:pPr>
      <w:r>
        <w:rPr>
          <w:b/>
          <w:bCs/>
        </w:rPr>
        <w:t xml:space="preserve">2 Corinthians 2:17; 4:1–5</w:t>
      </w:r>
      <w:r>
        <w:t xml:space="preserve"> </w:t>
      </w:r>
      <w:r>
        <w:t xml:space="preserve">— Paul’s extended parallel defense in 2 Corinthians develops the same themes: not peddling God’s word for profit, not using cunning, commending himself only by open statement of the truth, renouncing shameful and underhanded ways — the most direct canonical parallel to the ministry-integrity argument of 1 Thessalonians 2.</w:t>
      </w:r>
    </w:p>
    <w:p>
      <w:pPr>
        <w:numPr>
          <w:ilvl w:val="0"/>
          <w:numId w:val="1001"/>
        </w:numPr>
      </w:pPr>
      <w:r>
        <w:rPr>
          <w:b/>
          <w:bCs/>
        </w:rPr>
        <w:t xml:space="preserve">Jeremiah 1:4–10; 20:7–18</w:t>
      </w:r>
      <w:r>
        <w:t xml:space="preserve"> </w:t>
      </w:r>
      <w:r>
        <w:t xml:space="preserve">— The prophetic pattern of God-commissioned ministry marked by opposition and persecution (especially Jeremiah’s lament) provides the Old Testament grounding for Paul’s understanding that authentic messengers suffer precisely because they are authentic; the pattern of vv. 14–16 is not novel but climactic.</w:t>
      </w:r>
    </w:p>
    <w:p>
      <w:pPr>
        <w:numPr>
          <w:ilvl w:val="0"/>
          <w:numId w:val="1001"/>
        </w:numPr>
      </w:pPr>
      <w:r>
        <w:rPr>
          <w:b/>
          <w:bCs/>
        </w:rPr>
        <w:t xml:space="preserve">Romans 9:1–5; 11:25–29</w:t>
      </w:r>
      <w:r>
        <w:t xml:space="preserve"> </w:t>
      </w:r>
      <w:r>
        <w:t xml:space="preserve">— These passages supply the canonical balance to the sharp language of 1 Thessalonians 2:14–16, showing that Paul’s grief over Israel’s rejection of the Messiah is genuine and that his indictment of certain opponents does not entail the abandonment of ethnic Israel within God’s purposes.</w:t>
      </w:r>
    </w:p>
    <w:p>
      <w:pPr>
        <w:numPr>
          <w:ilvl w:val="0"/>
          <w:numId w:val="1001"/>
        </w:numPr>
      </w:pPr>
      <w:r>
        <w:rPr>
          <w:b/>
          <w:bCs/>
        </w:rPr>
        <w:t xml:space="preserve">Philippians 4:1</w:t>
      </w:r>
      <w:r>
        <w:t xml:space="preserve"> </w:t>
      </w:r>
      <w:r>
        <w:t xml:space="preserve">— Paul’s nearly identical language —</w:t>
      </w:r>
      <w:r>
        <w:t xml:space="preserve"> </w:t>
      </w:r>
      <w:r>
        <w:t xml:space="preserve">“my joy and crown”</w:t>
      </w:r>
      <w:r>
        <w:t xml:space="preserve"> </w:t>
      </w:r>
      <w:r>
        <w:t xml:space="preserve">— used of the Philippians confirms that the closing verses of 1 Thessalonians 2 reflect a consistent Pauline pattern of understanding his congregations as eschatological fruit, not merely present relationships.</w:t>
      </w:r>
    </w:p>
    <w:p>
      <w:r>
        <w:pict>
          <v:rect style="width:0;height:1.5pt" o:hralign="center" o:hrstd="t" o:hr="t"/>
        </w:pict>
      </w:r>
    </w:p>
    <w:p>
      <w:pPr>
        <w:pStyle w:val="FirstParagraph"/>
      </w:pPr>
      <w:r>
        <w:rPr>
          <w:b/>
          <w:bCs/>
        </w:rPr>
        <w:t xml:space="preserve">Aim:</w:t>
      </w:r>
      <w:r>
        <w:t xml:space="preserve"> </w:t>
      </w:r>
      <w:r>
        <w:t xml:space="preserve">To demonstrate from 1 Thessalonians 2 that the integrity of gospel ministry — in its motivation, its affection, and its reception — is not incidental to the gospel’s power but constitutive of it, so that ministers examine their own motives and congregations learn to receive the word as exactly what it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Paul asserts his entrance among them was not in vain — it was substantive and effective</w:t>
            </w:r>
          </w:p>
        </w:tc>
        <w:tc>
          <w:tcPr/>
          <w:p>
            <w:pPr>
              <w:pStyle w:val="Compact"/>
            </w:pPr>
            <w:r>
              <w:t xml:space="preserve">“In vain”</w:t>
            </w:r>
            <w:r>
              <w:t xml:space="preserve"> </w:t>
            </w:r>
            <w:r>
              <w:t xml:space="preserve">(κενή) = empty, without content or result; establishes the theme of genuine vs. counterfeit ministry</w:t>
            </w:r>
          </w:p>
        </w:tc>
      </w:tr>
      <w:tr>
        <w:tc>
          <w:tcPr/>
          <w:p>
            <w:pPr>
              <w:pStyle w:val="Compact"/>
            </w:pPr>
            <w:r>
              <w:t xml:space="preserve">2:2</w:t>
            </w:r>
          </w:p>
        </w:tc>
        <w:tc>
          <w:tcPr/>
          <w:p>
            <w:pPr>
              <w:pStyle w:val="Compact"/>
            </w:pPr>
            <w:r>
              <w:t xml:space="preserve">He came boldly despite prior suffering and shameful treatment at Philippi</w:t>
            </w:r>
          </w:p>
        </w:tc>
        <w:tc>
          <w:tcPr/>
          <w:p>
            <w:pPr>
              <w:pStyle w:val="Compact"/>
            </w:pPr>
            <w:r>
              <w:t xml:space="preserve">“Bold in our God”</w:t>
            </w:r>
            <w:r>
              <w:t xml:space="preserve"> </w:t>
            </w:r>
            <w:r>
              <w:t xml:space="preserve">— the courage is located in God, not in Paul’s constitution; Philippi reference assumes knowledge of Acts 16</w:t>
            </w:r>
          </w:p>
        </w:tc>
      </w:tr>
      <w:tr>
        <w:tc>
          <w:tcPr/>
          <w:p>
            <w:pPr>
              <w:pStyle w:val="Compact"/>
            </w:pPr>
            <w:r>
              <w:t xml:space="preserve">2:3</w:t>
            </w:r>
          </w:p>
        </w:tc>
        <w:tc>
          <w:tcPr/>
          <w:p>
            <w:pPr>
              <w:pStyle w:val="Compact"/>
            </w:pPr>
            <w:r>
              <w:t xml:space="preserve">His exhortation does not arise from error, impurity, or deceit</w:t>
            </w:r>
          </w:p>
        </w:tc>
        <w:tc>
          <w:tcPr/>
          <w:p>
            <w:pPr>
              <w:pStyle w:val="Compact"/>
            </w:pPr>
            <w:r>
              <w:t xml:space="preserve">Three negatives that correspond to common charges against wandering teachers; deceit/δόλος = bait or trap</w:t>
            </w:r>
          </w:p>
        </w:tc>
      </w:tr>
      <w:tr>
        <w:tc>
          <w:tcPr/>
          <w:p>
            <w:pPr>
              <w:pStyle w:val="Compact"/>
            </w:pPr>
            <w:r>
              <w:t xml:space="preserve">2:4</w:t>
            </w:r>
          </w:p>
        </w:tc>
        <w:tc>
          <w:tcPr/>
          <w:p>
            <w:pPr>
              <w:pStyle w:val="Compact"/>
            </w:pPr>
            <w:r>
              <w:t xml:space="preserve">He speaks as one approved by God, not seeking to please men</w:t>
            </w:r>
          </w:p>
        </w:tc>
        <w:tc>
          <w:tcPr/>
          <w:p>
            <w:pPr>
              <w:pStyle w:val="Compact"/>
            </w:pPr>
            <w:r>
              <w:t xml:space="preserve">“Approved”</w:t>
            </w:r>
            <w:r>
              <w:t xml:space="preserve"> </w:t>
            </w:r>
            <w:r>
              <w:t xml:space="preserve">(δεδοκιμάσμεθα) = tested and found genuine; God tests hearts — therefore God’s approval is the standard</w:t>
            </w:r>
          </w:p>
        </w:tc>
      </w:tr>
      <w:tr>
        <w:tc>
          <w:tcPr/>
          <w:p>
            <w:pPr>
              <w:pStyle w:val="Compact"/>
            </w:pPr>
            <w:r>
              <w:t xml:space="preserve">2:5</w:t>
            </w:r>
          </w:p>
        </w:tc>
        <w:tc>
          <w:tcPr/>
          <w:p>
            <w:pPr>
              <w:pStyle w:val="Compact"/>
            </w:pPr>
            <w:r>
              <w:t xml:space="preserve">He came without flattery or greed — God is witness</w:t>
            </w:r>
          </w:p>
        </w:tc>
        <w:tc>
          <w:tcPr/>
          <w:p>
            <w:pPr>
              <w:pStyle w:val="Compact"/>
            </w:pPr>
            <w:r>
              <w:t xml:space="preserve">Two more negatives;</w:t>
            </w:r>
            <w:r>
              <w:t xml:space="preserve"> </w:t>
            </w:r>
            <w:r>
              <w:t xml:space="preserve">“cloak of greed”</w:t>
            </w:r>
            <w:r>
              <w:t xml:space="preserve"> </w:t>
            </w:r>
            <w:r>
              <w:t xml:space="preserve">— greed masked as ministry is a recurring failure mode he specifically excludes</w:t>
            </w:r>
          </w:p>
        </w:tc>
      </w:tr>
      <w:tr>
        <w:tc>
          <w:tcPr/>
          <w:p>
            <w:pPr>
              <w:pStyle w:val="Compact"/>
            </w:pPr>
            <w:r>
              <w:t xml:space="preserve">2:6</w:t>
            </w:r>
          </w:p>
        </w:tc>
        <w:tc>
          <w:tcPr/>
          <w:p>
            <w:pPr>
              <w:pStyle w:val="Compact"/>
            </w:pPr>
            <w:r>
              <w:t xml:space="preserve">He sought no human glory — from them or from anyone</w:t>
            </w:r>
          </w:p>
        </w:tc>
        <w:tc>
          <w:tcPr/>
          <w:p>
            <w:pPr>
              <w:pStyle w:val="Compact"/>
            </w:pPr>
            <w:r>
              <w:t xml:space="preserve">“Burden”</w:t>
            </w:r>
            <w:r>
              <w:t xml:space="preserve"> </w:t>
            </w:r>
            <w:r>
              <w:t xml:space="preserve">may refer to financial support or to apostolic authority; he waived both</w:t>
            </w:r>
          </w:p>
        </w:tc>
      </w:tr>
      <w:tr>
        <w:tc>
          <w:tcPr/>
          <w:p>
            <w:pPr>
              <w:pStyle w:val="Compact"/>
            </w:pPr>
            <w:r>
              <w:t xml:space="preserve">2:7</w:t>
            </w:r>
          </w:p>
        </w:tc>
        <w:tc>
          <w:tcPr/>
          <w:p>
            <w:pPr>
              <w:pStyle w:val="Compact"/>
            </w:pPr>
            <w:r>
              <w:t xml:space="preserve">Despite apostolic authority, he was gentle — like a nursing mother</w:t>
            </w:r>
          </w:p>
        </w:tc>
        <w:tc>
          <w:tcPr/>
          <w:p>
            <w:pPr>
              <w:pStyle w:val="Compact"/>
            </w:pPr>
            <w:r>
              <w:t xml:space="preserve">Textual variant:</w:t>
            </w:r>
            <w:r>
              <w:t xml:space="preserve"> </w:t>
            </w:r>
            <w:r>
              <w:t xml:space="preserve">“gentle”</w:t>
            </w:r>
            <w:r>
              <w:t xml:space="preserve"> </w:t>
            </w:r>
            <w:r>
              <w:t xml:space="preserve">(ἤπιοι) vs. </w:t>
            </w:r>
            <w:r>
              <w:t xml:space="preserve">“infants”</w:t>
            </w:r>
            <w:r>
              <w:t xml:space="preserve"> </w:t>
            </w:r>
            <w:r>
              <w:t xml:space="preserve">(νήπιοι); majority of recent scholarship favors</w:t>
            </w:r>
            <w:r>
              <w:t xml:space="preserve"> </w:t>
            </w:r>
            <w:r>
              <w:t xml:space="preserve">“gentle/ἤπιοι”</w:t>
            </w:r>
            <w:r>
              <w:t xml:space="preserve">; the nursing mother image is deliberately tender</w:t>
            </w:r>
          </w:p>
        </w:tc>
      </w:tr>
      <w:tr>
        <w:tc>
          <w:tcPr/>
          <w:p>
            <w:pPr>
              <w:pStyle w:val="Compact"/>
            </w:pPr>
            <w:r>
              <w:t xml:space="preserve">2:8</w:t>
            </w:r>
          </w:p>
        </w:tc>
        <w:tc>
          <w:tcPr/>
          <w:p>
            <w:pPr>
              <w:pStyle w:val="Compact"/>
            </w:pPr>
            <w:r>
              <w:t xml:space="preserve">He longed for them and shared not just the gospel but his own life</w:t>
            </w:r>
          </w:p>
        </w:tc>
        <w:tc>
          <w:tcPr/>
          <w:p>
            <w:pPr>
              <w:pStyle w:val="Compact"/>
            </w:pPr>
            <w:r>
              <w:t xml:space="preserve">“Affectionately desirous”</w:t>
            </w:r>
            <w:r>
              <w:t xml:space="preserve"> </w:t>
            </w:r>
            <w:r>
              <w:t xml:space="preserve">(ὁμειρόμενοι) — rare word, possibly used of parental longing; self-impartation, not just message-delivery</w:t>
            </w:r>
          </w:p>
        </w:tc>
      </w:tr>
      <w:tr>
        <w:tc>
          <w:tcPr/>
          <w:p>
            <w:pPr>
              <w:pStyle w:val="Compact"/>
            </w:pPr>
            <w:r>
              <w:t xml:space="preserve">2:9</w:t>
            </w:r>
          </w:p>
        </w:tc>
        <w:tc>
          <w:tcPr/>
          <w:p>
            <w:pPr>
              <w:pStyle w:val="Compact"/>
            </w:pPr>
            <w:r>
              <w:t xml:space="preserve">He worked night and day so as not to be a financial burden</w:t>
            </w:r>
          </w:p>
        </w:tc>
        <w:tc>
          <w:tcPr/>
          <w:p>
            <w:pPr>
              <w:pStyle w:val="Compact"/>
            </w:pPr>
            <w:r>
              <w:t xml:space="preserve">Tent-making (cf. Acts 18:3); manual labor was considered beneath the dignity of philosophers — Paul chooses it deliberately</w:t>
            </w:r>
          </w:p>
        </w:tc>
      </w:tr>
      <w:tr>
        <w:tc>
          <w:tcPr/>
          <w:p>
            <w:pPr>
              <w:pStyle w:val="Compact"/>
            </w:pPr>
            <w:r>
              <w:t xml:space="preserve">2:10</w:t>
            </w:r>
          </w:p>
        </w:tc>
        <w:tc>
          <w:tcPr/>
          <w:p>
            <w:pPr>
              <w:pStyle w:val="Compact"/>
            </w:pPr>
            <w:r>
              <w:t xml:space="preserve">He calls witnesses — God and the Thessalonians — to his conduct: holy, righteous, blameless</w:t>
            </w:r>
          </w:p>
        </w:tc>
        <w:tc>
          <w:tcPr/>
          <w:p>
            <w:pPr>
              <w:pStyle w:val="Compact"/>
            </w:pPr>
            <w:r>
              <w:t xml:space="preserve">Triple affirmation; both divine and human witness invoked — nothing hidden</w:t>
            </w:r>
          </w:p>
        </w:tc>
      </w:tr>
      <w:tr>
        <w:tc>
          <w:tcPr/>
          <w:p>
            <w:pPr>
              <w:pStyle w:val="Compact"/>
            </w:pPr>
            <w:r>
              <w:t xml:space="preserve">2:11–12</w:t>
            </w:r>
          </w:p>
        </w:tc>
        <w:tc>
          <w:tcPr/>
          <w:p>
            <w:pPr>
              <w:pStyle w:val="Compact"/>
            </w:pPr>
            <w:r>
              <w:t xml:space="preserve">Like a father with his children: exhorting, encouraging, imploring them to walk worthy of God</w:t>
            </w:r>
          </w:p>
        </w:tc>
        <w:tc>
          <w:tcPr/>
          <w:p>
            <w:pPr>
              <w:pStyle w:val="Compact"/>
            </w:pPr>
            <w:r>
              <w:t xml:space="preserve">Father metaphor complements mother metaphor; content of fatherly instruction: the walk worthy of the kingdom</w:t>
            </w:r>
          </w:p>
        </w:tc>
      </w:tr>
      <w:tr>
        <w:tc>
          <w:tcPr/>
          <w:p>
            <w:pPr>
              <w:pStyle w:val="Compact"/>
            </w:pPr>
            <w:r>
              <w:t xml:space="preserve">2:13</w:t>
            </w:r>
          </w:p>
        </w:tc>
        <w:tc>
          <w:tcPr/>
          <w:p>
            <w:pPr>
              <w:pStyle w:val="Compact"/>
            </w:pPr>
            <w:r>
              <w:t xml:space="preserve">They received his word as God’s word, not a human word — and it is working in them</w:t>
            </w:r>
          </w:p>
        </w:tc>
        <w:tc>
          <w:tcPr/>
          <w:p>
            <w:pPr>
              <w:pStyle w:val="Compact"/>
            </w:pPr>
            <w:r>
              <w:t xml:space="preserve">Key pivot: the Thessalonians’ reception confirms both Paul’s integrity and the word’s divine character;</w:t>
            </w:r>
            <w:r>
              <w:t xml:space="preserve"> </w:t>
            </w:r>
            <w:r>
              <w:t xml:space="preserve">“is at work”</w:t>
            </w:r>
            <w:r>
              <w:t xml:space="preserve"> </w:t>
            </w:r>
            <w:r>
              <w:t xml:space="preserve">= present active, ongoing</w:t>
            </w:r>
          </w:p>
        </w:tc>
      </w:tr>
      <w:tr>
        <w:tc>
          <w:tcPr/>
          <w:p>
            <w:pPr>
              <w:pStyle w:val="Compact"/>
            </w:pPr>
            <w:r>
              <w:t xml:space="preserve">2:14</w:t>
            </w:r>
          </w:p>
        </w:tc>
        <w:tc>
          <w:tcPr/>
          <w:p>
            <w:pPr>
              <w:pStyle w:val="Compact"/>
            </w:pPr>
            <w:r>
              <w:t xml:space="preserve">They became imitators of the Judean churches — suffering from their own countrymen</w:t>
            </w:r>
          </w:p>
        </w:tc>
        <w:tc>
          <w:tcPr/>
          <w:p>
            <w:pPr>
              <w:pStyle w:val="Compact"/>
            </w:pPr>
            <w:r>
              <w:t xml:space="preserve">Suffering confirms authenticity; the Thessalonians’ experience mirrors the Judean churches’ experience</w:t>
            </w:r>
          </w:p>
        </w:tc>
      </w:tr>
      <w:tr>
        <w:tc>
          <w:tcPr/>
          <w:p>
            <w:pPr>
              <w:pStyle w:val="Compact"/>
            </w:pPr>
            <w:r>
              <w:t xml:space="preserve">2:15–16</w:t>
            </w:r>
          </w:p>
        </w:tc>
        <w:tc>
          <w:tcPr/>
          <w:p>
            <w:pPr>
              <w:pStyle w:val="Compact"/>
            </w:pPr>
            <w:r>
              <w:t xml:space="preserve">Those who killed Jesus, persecuted the prophets, oppose all humanity, and hinder gospel proclamation — wrath has come upon them</w:t>
            </w:r>
          </w:p>
        </w:tc>
        <w:tc>
          <w:tcPr/>
          <w:p>
            <w:pPr>
              <w:pStyle w:val="Compact"/>
            </w:pPr>
            <w:r>
              <w:t xml:space="preserve">Climactic indictment; not ethnic condemnation but covenant-breaking pattern;</w:t>
            </w:r>
            <w:r>
              <w:t xml:space="preserve"> </w:t>
            </w:r>
            <w:r>
              <w:t xml:space="preserve">“to fill up their sins”</w:t>
            </w:r>
            <w:r>
              <w:t xml:space="preserve"> </w:t>
            </w:r>
            <w:r>
              <w:t xml:space="preserve">— an apocalyptic concept of accumulated judgment</w:t>
            </w:r>
          </w:p>
        </w:tc>
      </w:tr>
      <w:tr>
        <w:tc>
          <w:tcPr/>
          <w:p>
            <w:pPr>
              <w:pStyle w:val="Compact"/>
            </w:pPr>
            <w:r>
              <w:t xml:space="preserve">2:17</w:t>
            </w:r>
          </w:p>
        </w:tc>
        <w:tc>
          <w:tcPr/>
          <w:p>
            <w:pPr>
              <w:pStyle w:val="Compact"/>
            </w:pPr>
            <w:r>
              <w:t xml:space="preserve">Paul, torn away from them, longed intensely to see their face</w:t>
            </w:r>
          </w:p>
        </w:tc>
        <w:tc>
          <w:tcPr/>
          <w:p>
            <w:pPr>
              <w:pStyle w:val="Compact"/>
            </w:pPr>
            <w:r>
              <w:t xml:space="preserve">“Torn away”</w:t>
            </w:r>
            <w:r>
              <w:t xml:space="preserve"> </w:t>
            </w:r>
            <w:r>
              <w:t xml:space="preserve">(ἀπορφανισθέντες) — literally</w:t>
            </w:r>
            <w:r>
              <w:t xml:space="preserve"> </w:t>
            </w:r>
            <w:r>
              <w:t xml:space="preserve">“orphaned”</w:t>
            </w:r>
            <w:r>
              <w:t xml:space="preserve">; the separation was violent and grievous</w:t>
            </w:r>
          </w:p>
        </w:tc>
      </w:tr>
      <w:tr>
        <w:tc>
          <w:tcPr/>
          <w:p>
            <w:pPr>
              <w:pStyle w:val="Compact"/>
            </w:pPr>
            <w:r>
              <w:t xml:space="preserve">2:18</w:t>
            </w:r>
          </w:p>
        </w:tc>
        <w:tc>
          <w:tcPr/>
          <w:p>
            <w:pPr>
              <w:pStyle w:val="Compact"/>
            </w:pPr>
            <w:r>
              <w:t xml:space="preserve">He wanted to come — again and again — but Satan hindered him</w:t>
            </w:r>
          </w:p>
        </w:tc>
        <w:tc>
          <w:tcPr/>
          <w:p>
            <w:pPr>
              <w:pStyle w:val="Compact"/>
            </w:pPr>
            <w:r>
              <w:t xml:space="preserve">Remarkable candor; Paul does not theologize the hindrance away; Satan is a real actor opposing gospel work</w:t>
            </w:r>
          </w:p>
        </w:tc>
      </w:tr>
      <w:tr>
        <w:tc>
          <w:tcPr/>
          <w:p>
            <w:pPr>
              <w:pStyle w:val="Compact"/>
            </w:pPr>
            <w:r>
              <w:t xml:space="preserve">2:19–20</w:t>
            </w:r>
          </w:p>
        </w:tc>
        <w:tc>
          <w:tcPr/>
          <w:p>
            <w:pPr>
              <w:pStyle w:val="Compact"/>
            </w:pPr>
            <w:r>
              <w:t xml:space="preserve">The Thessalonians are his hope, joy, and crown of boasting at the coming of the Lord Jesus</w:t>
            </w:r>
          </w:p>
        </w:tc>
        <w:tc>
          <w:tcPr/>
          <w:p>
            <w:pPr>
              <w:pStyle w:val="Compact"/>
            </w:pPr>
            <w:r>
              <w:t xml:space="preserve">Eschatological anchor; the relationship is not merely present but eternal;</w:t>
            </w:r>
            <w:r>
              <w:t xml:space="preserve"> </w:t>
            </w:r>
            <w:r>
              <w:t xml:space="preserve">“crown”</w:t>
            </w:r>
            <w:r>
              <w:t xml:space="preserve"> </w:t>
            </w:r>
            <w:r>
              <w:t xml:space="preserve">(στέφανος) = victor’s wreath, not royal crown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The Courage of the Entrance: Bold Ministry Born of Suffering</w:t>
            </w:r>
          </w:p>
        </w:tc>
      </w:tr>
      <w:tr>
        <w:tc>
          <w:tcPr/>
          <w:p>
            <w:pPr>
              <w:pStyle w:val="Compact"/>
            </w:pPr>
            <w:r>
              <w:t xml:space="preserve">2</w:t>
            </w:r>
          </w:p>
        </w:tc>
        <w:tc>
          <w:tcPr/>
          <w:p>
            <w:pPr>
              <w:pStyle w:val="Compact"/>
            </w:pPr>
            <w:r>
              <w:t xml:space="preserve">2:3–6</w:t>
            </w:r>
          </w:p>
        </w:tc>
        <w:tc>
          <w:tcPr/>
          <w:p>
            <w:pPr>
              <w:pStyle w:val="Compact"/>
            </w:pPr>
            <w:r>
              <w:t xml:space="preserve">The Purity of the Motive: Not to Please Men but God</w:t>
            </w:r>
          </w:p>
        </w:tc>
      </w:tr>
      <w:tr>
        <w:tc>
          <w:tcPr/>
          <w:p>
            <w:pPr>
              <w:pStyle w:val="Compact"/>
            </w:pPr>
            <w:r>
              <w:t xml:space="preserve">3</w:t>
            </w:r>
          </w:p>
        </w:tc>
        <w:tc>
          <w:tcPr/>
          <w:p>
            <w:pPr>
              <w:pStyle w:val="Compact"/>
            </w:pPr>
            <w:r>
              <w:t xml:space="preserve">2:7–9</w:t>
            </w:r>
          </w:p>
        </w:tc>
        <w:tc>
          <w:tcPr/>
          <w:p>
            <w:pPr>
              <w:pStyle w:val="Compact"/>
            </w:pPr>
            <w:r>
              <w:t xml:space="preserve">The Tenderness of the Manner: A Nursing Mother’s Self-Giving</w:t>
            </w:r>
          </w:p>
        </w:tc>
      </w:tr>
      <w:tr>
        <w:tc>
          <w:tcPr/>
          <w:p>
            <w:pPr>
              <w:pStyle w:val="Compact"/>
            </w:pPr>
            <w:r>
              <w:t xml:space="preserve">4</w:t>
            </w:r>
          </w:p>
        </w:tc>
        <w:tc>
          <w:tcPr/>
          <w:p>
            <w:pPr>
              <w:pStyle w:val="Compact"/>
            </w:pPr>
            <w:r>
              <w:t xml:space="preserve">2:10–12</w:t>
            </w:r>
          </w:p>
        </w:tc>
        <w:tc>
          <w:tcPr/>
          <w:p>
            <w:pPr>
              <w:pStyle w:val="Compact"/>
            </w:pPr>
            <w:r>
              <w:t xml:space="preserve">The Urgency of the Father: Exhorting a Walk Worthy of the Kingdom</w:t>
            </w:r>
          </w:p>
        </w:tc>
      </w:tr>
      <w:tr>
        <w:tc>
          <w:tcPr/>
          <w:p>
            <w:pPr>
              <w:pStyle w:val="Compact"/>
            </w:pPr>
            <w:r>
              <w:t xml:space="preserve">5</w:t>
            </w:r>
          </w:p>
        </w:tc>
        <w:tc>
          <w:tcPr/>
          <w:p>
            <w:pPr>
              <w:pStyle w:val="Compact"/>
            </w:pPr>
            <w:r>
              <w:t xml:space="preserve">2:13–16</w:t>
            </w:r>
          </w:p>
        </w:tc>
        <w:tc>
          <w:tcPr/>
          <w:p>
            <w:pPr>
              <w:pStyle w:val="Compact"/>
            </w:pPr>
            <w:r>
              <w:t xml:space="preserve">The Reception of the Word: Received as God’s Word, Confirmed by Persecution</w:t>
            </w:r>
          </w:p>
        </w:tc>
      </w:tr>
      <w:tr>
        <w:tc>
          <w:tcPr/>
          <w:p>
            <w:pPr>
              <w:pStyle w:val="Compact"/>
            </w:pPr>
            <w:r>
              <w:t xml:space="preserve">6</w:t>
            </w:r>
          </w:p>
        </w:tc>
        <w:tc>
          <w:tcPr/>
          <w:p>
            <w:pPr>
              <w:pStyle w:val="Compact"/>
            </w:pPr>
            <w:r>
              <w:t xml:space="preserve">2:17–20</w:t>
            </w:r>
          </w:p>
        </w:tc>
        <w:tc>
          <w:tcPr/>
          <w:p>
            <w:pPr>
              <w:pStyle w:val="Compact"/>
            </w:pPr>
            <w:r>
              <w:t xml:space="preserve">The Longing of the Heart: Orphaned but Not Indifferent — They Are His Crown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Authentic gospel ministry is marked by the integrity of the messenger and received as the very word of God.</w:t>
      </w:r>
    </w:p>
    <w:p>
      <w:pPr>
        <w:pStyle w:val="BodyText"/>
      </w:pPr>
      <w:r>
        <w:rPr>
          <w:b/>
          <w:bCs/>
        </w:rPr>
        <w:t xml:space="preserve">Primary Claim:</w:t>
      </w:r>
      <w:r>
        <w:t xml:space="preserve"> </w:t>
      </w:r>
      <w:r>
        <w:t xml:space="preserve">God is calling every minister and every congregation to measure gospel ministry — both its delivery and its reception — by the standard of Paul’s apostolic pattern: motivated by God’s approval alone, conducted with sacrificial love, and received not as human opinion but as the living and active word of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whose approval you are preaching for.</w:t>
      </w:r>
      <w:r>
        <w:t xml:space="preserve"> </w:t>
      </w:r>
      <w:r>
        <w:rPr>
          <w:i/>
          <w:iCs/>
        </w:rPr>
        <w:t xml:space="preserve">(Mind/Belief)</w:t>
      </w:r>
      <w:r>
        <w:t xml:space="preserve"> </w:t>
      </w:r>
      <w:r>
        <w:t xml:space="preserve">Paul’s entire defense of his ministry rests on a single controlling conviction:</w:t>
      </w:r>
      <w:r>
        <w:t xml:space="preserve"> </w:t>
      </w:r>
      <w:r>
        <w:t xml:space="preserve">“not as pleasing men, but God, who tests our hearts”</w:t>
      </w:r>
      <w:r>
        <w:t xml:space="preserve"> </w:t>
      </w:r>
      <w:r>
        <w:t xml:space="preserve">(v. 4). Every minister faces the continuous pull toward the approval of the congregation — adjusting tone, softening edges, emphasizing what will be received warmly and minimizing what will not. The decisive question this passage forces is not</w:t>
      </w:r>
      <w:r>
        <w:t xml:space="preserve"> </w:t>
      </w:r>
      <w:r>
        <w:t xml:space="preserve">“Did they appreciate the sermon?”</w:t>
      </w:r>
      <w:r>
        <w:t xml:space="preserve"> </w:t>
      </w:r>
      <w:r>
        <w:t xml:space="preserve">but</w:t>
      </w:r>
      <w:r>
        <w:t xml:space="preserve"> </w:t>
      </w:r>
      <w:r>
        <w:t xml:space="preserve">“Did I say what God commissioned me to say?”</w:t>
      </w:r>
      <w:r>
        <w:t xml:space="preserve"> </w:t>
      </w:r>
      <w:r>
        <w:t xml:space="preserve">The congregation’s approval is a legitimate pastoral concern; it becomes an idol the moment it shapes the content of what is preached. Preach as a steward of a trust, not as a performer seeking a response.</w:t>
      </w:r>
    </w:p>
    <w:p>
      <w:pPr>
        <w:pStyle w:val="BodyText"/>
      </w:pPr>
      <w:r>
        <w:rPr>
          <w:b/>
          <w:bCs/>
        </w:rPr>
        <w:t xml:space="preserve">2. Let the gentleness of the nursing mother reshape your understanding of what pastoral strength looks like.</w:t>
      </w:r>
      <w:r>
        <w:t xml:space="preserve"> </w:t>
      </w:r>
      <w:r>
        <w:rPr>
          <w:i/>
          <w:iCs/>
        </w:rPr>
        <w:t xml:space="preserve">(Affections/Worship)</w:t>
      </w:r>
      <w:r>
        <w:t xml:space="preserve"> </w:t>
      </w:r>
      <w:r>
        <w:t xml:space="preserve">The dominant cultural images of strong pastoral leadership tend toward confrontation, doctrinal sharpness, and prophetic boldness — all of which this passage affirms. But Paul places the nursing mother image at the center of his description of authentic apostolic character, and he explicitly describes sharing his very life, not merely his message (v. 8). True pastoral courage includes the willingness to be emotionally present, personally invested, and genuinely vulnerable with those in your care. If your ministry is all proclamation and no presence — all content and no self-impartation — you have taken half of Paul’s pattern and called it the whole. Let this passage cultivate in you an affection for the people of God that goes beyond professional duty to genuine longing.</w:t>
      </w:r>
    </w:p>
    <w:p>
      <w:pPr>
        <w:pStyle w:val="BodyText"/>
      </w:pPr>
      <w:r>
        <w:rPr>
          <w:b/>
          <w:bCs/>
        </w:rPr>
        <w:t xml:space="preserve">3. Receive the preached word as what it actually is — God’s word, not a man’s opinion.</w:t>
      </w:r>
      <w:r>
        <w:t xml:space="preserve"> </w:t>
      </w:r>
      <w:r>
        <w:rPr>
          <w:i/>
          <w:iCs/>
        </w:rPr>
        <w:t xml:space="preserve">(Mind/Belief)</w:t>
      </w:r>
      <w:r>
        <w:t xml:space="preserve"> </w:t>
      </w:r>
      <w:r>
        <w:t xml:space="preserve">Verse 13 is one of the most remarkable verses in the Pauline corpus: the Thessalonians received Paul’s message not as a human word but as the word of God — and, Paul adds, it is at work in those who believe. This verse addresses not the preacher but the congregation. The reformation of the listener is as urgent as the reformation of the preacher. A congregation that filters every sermon through the question</w:t>
      </w:r>
      <w:r>
        <w:t xml:space="preserve"> </w:t>
      </w:r>
      <w:r>
        <w:t xml:space="preserve">“Do I agree with the pastor?”</w:t>
      </w:r>
      <w:r>
        <w:t xml:space="preserve"> </w:t>
      </w:r>
      <w:r>
        <w:t xml:space="preserve">or</w:t>
      </w:r>
      <w:r>
        <w:t xml:space="preserve"> </w:t>
      </w:r>
      <w:r>
        <w:t xml:space="preserve">“Does this match my experience?”</w:t>
      </w:r>
      <w:r>
        <w:t xml:space="preserve"> </w:t>
      </w:r>
      <w:r>
        <w:t xml:space="preserve">has not yet arrived at the posture Paul describes. The word of God carried by a faithful minister has an authority that does not rest on the minister’s persuasiveness, academic credentials, or relational capital. Receive it accordingly.</w:t>
      </w:r>
    </w:p>
    <w:p>
      <w:pPr>
        <w:pStyle w:val="BodyText"/>
      </w:pPr>
      <w:r>
        <w:rPr>
          <w:b/>
          <w:bCs/>
        </w:rPr>
        <w:t xml:space="preserve">4. Understand that the suffering of faithful ministers and churches is a mark of authenticity, not a sign of God’s absence.</w:t>
      </w:r>
      <w:r>
        <w:t xml:space="preserve"> </w:t>
      </w:r>
      <w:r>
        <w:rPr>
          <w:i/>
          <w:iCs/>
        </w:rPr>
        <w:t xml:space="preserve">(Affections/Worship)</w:t>
      </w:r>
      <w:r>
        <w:t xml:space="preserve"> </w:t>
      </w:r>
      <w:r>
        <w:t xml:space="preserve">Paul points to the Thessalonians’ suffering from their own countrymen as confirmation — not contradiction — of their genuine standing before God (v. 14). And he points to his own suffering at Philippi as the context out of which his bold ministry among them was born (v. 2). The pattern is consistent: genuine gospel work generates resistance. A ministry that never suffers opposition, never endures hardship, and never pays a social or financial cost for its faithfulness should examine itself, not celebrate itself. Equally, a congregation undergoing genuine persecution for the gospel should understand that very pressure as the confirmation of what they have received. Let this reorient your emotional response to opposition — grief and endurance are appropriate; despair and surprise are not.</w:t>
      </w:r>
    </w:p>
    <w:p>
      <w:pPr>
        <w:pStyle w:val="BodyText"/>
      </w:pPr>
      <w:r>
        <w:rPr>
          <w:b/>
          <w:bCs/>
        </w:rPr>
        <w:t xml:space="preserve">5. Cultivate eschatological vision for the people you serve — they are your crown at the coming of the Lord.</w:t>
      </w:r>
      <w:r>
        <w:t xml:space="preserve"> </w:t>
      </w:r>
      <w:r>
        <w:rPr>
          <w:i/>
          <w:iCs/>
        </w:rPr>
        <w:t xml:space="preserve">(Will/Behavior)</w:t>
      </w:r>
      <w:r>
        <w:t xml:space="preserve"> </w:t>
      </w:r>
      <w:r>
        <w:t xml:space="preserve">Paul’s closing movement in this chapter (vv. 17–20) is striking in its pastoral intensity: he does not describe his relationship with the Thessalonians merely in terms of present affection or past investment, but in terms of what they will be to him at the coming of the Lord Jesus. They are his hope, his joy, his crown of boasting at the parousia. This is not sentimentality — it is a concrete eschatological conviction that shapes present behavior. For the minister, this means every act of pastoral care, every hour of sermon preparation, every difficult conversation and patient endurance with a struggling member is an investment with eschatological returns. Do not merely labor for immediate results. Labor in view of the day when the fruit will be fully visible. Let the last day govern how you spend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makes a claim that is simultaneously about ministry and about God: authentic gospel ministry is not a technique but a character, and that character is shaped entirely by accountability to a God who tests hearts. Paul’s triple appeal to God as witness (vv. 4, 5, 10) reveals his theological governing conviction — God sees what men cannot, and therefore God’s assessment is the only one that finally counts. This has profound implications for the theology of ministry: the minister’s integrity is not merely an ethical requirement but a theological necessity. A corrupt messenger does not merely damage the message’s reputation — he distorts the congregation’s grasp of what God is like, because the minister’s character is meant to embody and commend the God he proclaims. Furthermore, verse 13 grounds the passage’s theology in divine action: the word of God is not merely true — it is alive and working in those who believe. Faithful ministry is the instrument; God’s word is the agent.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Thessalonians 2 is a crucial passage for the Reformed doctrine of the ministry, particularly the insistence that the minister’s authority is derived entirely from the word he carries, not from his person, office, or eloquence. Paul’s repeated disavowal of flattery, greed, personal glory, and human approval is the practical expression of the Reformation principle that the preacher serves as a herald, not a lord. His authority is the gospel’s authority, and it functions only to the extent that he is faithfully delivering what he was given. The nursing mother and fatherly father metaphors together resist both the clericalism that elevates the minister above his people and the consumerism that reduces the congregation to an audience whose preferences determine the content of ministry. The passage also grounds the Reformed understanding of effectual calling in pastoral reality: verse 13 describes the word of God working in the believers — not merely informing them but actively operating within them — which is the language of divine agency at work through creaturely means. This is not mechanical; it flows through real human affection, real sacrifice, and real relationship. Reformed theology holds precisely this tension: God’s sovereignty does not bypass human instruments but operates through them at full stretch.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Gospel ministry is not a performance and the church is not an audience. Paul spent himself for the Thessalonians — working night and day, sharing his very life, longing to see their face — because he had been approved by God and had therefore nothing left to prove to men. Measure the ministry you give and the ministry you receive by this standard: Is it honest? Is it costly? Is it received as God’s word rather than a man’s opinion? And is it being done in view of the day when the Lord Jesus comes and the fruit is finally and fully seen?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a portrait of the</w:t>
      </w:r>
      <w:r>
        <w:rPr>
          <w:b/>
          <w:bCs/>
        </w:rPr>
        <w:t xml:space="preserve"> </w:t>
      </w:r>
      <w:r>
        <w:rPr>
          <w:b/>
          <w:bCs/>
        </w:rPr>
        <w:t xml:space="preserve">“ideal pastor”</w:t>
      </w:r>
      <w:r>
        <w:rPr>
          <w:b/>
          <w:bCs/>
        </w:rPr>
        <w:t xml:space="preserve"> </w:t>
      </w:r>
      <w:r>
        <w:rPr>
          <w:b/>
          <w:bCs/>
        </w:rPr>
        <w:t xml:space="preserve">without applying it to the congregation.</w:t>
      </w:r>
      <w:r>
        <w:t xml:space="preserve"> </w:t>
      </w:r>
      <w:r>
        <w:t xml:space="preserve">The most common mishandling of 1 Thessalonians 2 is treating it as a job description for ministers while leaving the congregation as passive observers of Paul’s exemplary conduct. Verse 13 —</w:t>
      </w:r>
      <w:r>
        <w:t xml:space="preserve"> </w:t>
      </w:r>
      <w:r>
        <w:t xml:space="preserve">“you received it not as the word of men but as what it really is, the word of God”</w:t>
      </w:r>
      <w:r>
        <w:t xml:space="preserve"> </w:t>
      </w:r>
      <w:r>
        <w:t xml:space="preserve">— is addressed to the Thessalonians, not to Paul. The passage has a mirror-image structure: Paul’s integrity as a giver and the Thessalonians’ posture as receivers are both under examination. A sermon that only addresses preachers has missed half the text.</w:t>
      </w:r>
    </w:p>
    <w:p>
      <w:pPr>
        <w:numPr>
          <w:ilvl w:val="0"/>
          <w:numId w:val="1002"/>
        </w:numPr>
      </w:pPr>
      <w:r>
        <w:rPr>
          <w:b/>
          <w:bCs/>
        </w:rPr>
        <w:t xml:space="preserve">Using Paul’s self-defense as a license for defensive self-promotion in ministry.</w:t>
      </w:r>
      <w:r>
        <w:t xml:space="preserve"> </w:t>
      </w:r>
      <w:r>
        <w:t xml:space="preserve">Paul’s defense of his ministry is entirely God-directed — his repeated appeal to God as witness is the opposite of self-promotion. A preacher who uses this passage to bolster his own reputation or rebuke critics has inverted the logic. Paul points away from himself to the God who tests hearts; he does not call attention to his own virtue. Exposition must model the posture it expounds.</w:t>
      </w:r>
    </w:p>
    <w:p>
      <w:pPr>
        <w:numPr>
          <w:ilvl w:val="0"/>
          <w:numId w:val="1002"/>
        </w:numPr>
      </w:pPr>
      <w:r>
        <w:rPr>
          <w:b/>
          <w:bCs/>
        </w:rPr>
        <w:t xml:space="preserve">Reading verses 14–16 as a blanket condemnation of Jewish people.</w:t>
      </w:r>
      <w:r>
        <w:t xml:space="preserve"> </w:t>
      </w:r>
      <w:r>
        <w:t xml:space="preserve">These verses have a long and deeply troubling history of misapplication in Christian anti-Semitism. The passage must be carefully contextualized: Paul himself is Jewish (Romans 9:1–5), his indictment is specific to those who actively opposed the gospel and killed the Messiah, and the language fits within the Old Testament prophetic tradition of covenant-breaking indictment (cf. Nehemiah 9; Daniel 9; Jeremiah 20). Any exposition that leaves listeners with a generalized negative posture toward Jewish people has misread both the text and its canonical context.</w:t>
      </w:r>
    </w:p>
    <w:p>
      <w:pPr>
        <w:numPr>
          <w:ilvl w:val="0"/>
          <w:numId w:val="1002"/>
        </w:numPr>
      </w:pPr>
      <w:r>
        <w:rPr>
          <w:b/>
          <w:bCs/>
        </w:rPr>
        <w:t xml:space="preserve">Treating Paul’s description of the gentleness of ministry (vv. 7–9) as soft and the description of fatherly exhortation (vv. 11–12) as strong.</w:t>
      </w:r>
      <w:r>
        <w:t xml:space="preserve"> </w:t>
      </w:r>
      <w:r>
        <w:t xml:space="preserve">Both metaphors describe strength. The nursing mother’s self-impartation (sharing one’s very life, v. 8) is an act of maximum pastoral investment, not minimum pastoral expectation. The failure to integrate both metaphors produces ministry that is either all confrontation (fatherly without maternal tenderness) or all comfort (maternal without fatherly urgency). The full picture requires both.</w:t>
      </w:r>
    </w:p>
    <w:p>
      <w:pPr>
        <w:numPr>
          <w:ilvl w:val="0"/>
          <w:numId w:val="1002"/>
        </w:numPr>
      </w:pPr>
      <w:r>
        <w:rPr>
          <w:b/>
          <w:bCs/>
        </w:rPr>
        <w:t xml:space="preserve">Allowing</w:t>
      </w:r>
      <w:r>
        <w:rPr>
          <w:b/>
          <w:bCs/>
        </w:rPr>
        <w:t xml:space="preserve"> </w:t>
      </w:r>
      <w:r>
        <w:rPr>
          <w:b/>
          <w:bCs/>
        </w:rPr>
        <w:t xml:space="preserve">“Satan hindered us”</w:t>
      </w:r>
      <w:r>
        <w:rPr>
          <w:b/>
          <w:bCs/>
        </w:rPr>
        <w:t xml:space="preserve"> </w:t>
      </w:r>
      <w:r>
        <w:rPr>
          <w:b/>
          <w:bCs/>
        </w:rPr>
        <w:t xml:space="preserve">(v. 18) to become a theological escape hatch for unexplained ministry failures.</w:t>
      </w:r>
      <w:r>
        <w:t xml:space="preserve"> </w:t>
      </w:r>
      <w:r>
        <w:t xml:space="preserve">Paul’s candid attribution of his inability to return to Thessalonica to satanic opposition is remarkable, but it must not become a rhetorical device for avoiding honest self-examination. Paul does not use</w:t>
      </w:r>
      <w:r>
        <w:t xml:space="preserve"> </w:t>
      </w:r>
      <w:r>
        <w:t xml:space="preserve">“Satan hindered”</w:t>
      </w:r>
      <w:r>
        <w:t xml:space="preserve"> </w:t>
      </w:r>
      <w:r>
        <w:t xml:space="preserve">to excuse poor planning, relational failures, or providential detours that could be addressed differently. The interpreter should note the seriousness with which Paul names real spiritual opposition without turning the verse into a free-floating explanation for any difficulty.</w:t>
      </w:r>
    </w:p>
    <w:p>
      <w:pPr>
        <w:numPr>
          <w:ilvl w:val="0"/>
          <w:numId w:val="1002"/>
        </w:numPr>
      </w:pPr>
      <w:r>
        <w:rPr>
          <w:b/>
          <w:bCs/>
        </w:rPr>
        <w:t xml:space="preserve">Missing the eschatological frame that governs the entire chapter.</w:t>
      </w:r>
      <w:r>
        <w:t xml:space="preserve"> </w:t>
      </w:r>
      <w:r>
        <w:t xml:space="preserve">The closing verses (vv. 19–20) are not an emotional coda — they are the hermeneutical key to why the ministry integrity described in vv. 1–16 matters so urgently. Paul works as he does because he is working in view of the parousia. A sermon that does not land in this eschatological frame has preached about good ministry character without explaining the ultimate motivation for it. The</w:t>
      </w:r>
      <w:r>
        <w:t xml:space="preserve"> </w:t>
      </w:r>
      <w:r>
        <w:t xml:space="preserve">“crown of boasting at the coming of the Lord Jesus Christ”</w:t>
      </w:r>
      <w:r>
        <w:t xml:space="preserve"> </w:t>
      </w:r>
      <w:r>
        <w:t xml:space="preserve">is what puts the nursing mother’s self-giving and the father’s urgent exhortation in their proper light: they are eternal investments, not professional obligations.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2026-07-14T21:08:14Z</dcterms:created>
  <dcterms:modified xsi:type="dcterms:W3CDTF">2026-07-14T21:08:14Z</dcterms:modified>
</cp:coreProperties>
</file>

<file path=docProps/custom.xml><?xml version="1.0" encoding="utf-8"?>
<Properties xmlns="http://schemas.openxmlformats.org/officeDocument/2006/custom-properties" xmlns:vt="http://schemas.openxmlformats.org/officeDocument/2006/docPropsVTypes"/>
</file>